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3B" w:rsidRDefault="007F0C3B">
      <w:pPr>
        <w:pStyle w:val="ConsPlusNormal"/>
        <w:jc w:val="both"/>
      </w:pPr>
    </w:p>
    <w:p w:rsidR="007F0C3B" w:rsidRDefault="00491784">
      <w:pPr>
        <w:pStyle w:val="ConsPlusTitle"/>
        <w:jc w:val="center"/>
      </w:pPr>
      <w:r>
        <w:t>ПРАВИЛА</w:t>
      </w:r>
    </w:p>
    <w:p w:rsidR="007F0C3B" w:rsidRDefault="00491784">
      <w:pPr>
        <w:pStyle w:val="ConsPlusTitle"/>
        <w:jc w:val="center"/>
      </w:pPr>
      <w:r>
        <w:t>ПРЕДОСТАВЛЕНИЯ ИНЫХ МЕЖБЮДЖЕТНЫХ ТРАНСФЕРТОВ ИЗ ОБЛАСТНОГО</w:t>
      </w:r>
    </w:p>
    <w:p w:rsidR="007F0C3B" w:rsidRDefault="00491784">
      <w:pPr>
        <w:pStyle w:val="ConsPlusTitle"/>
        <w:jc w:val="center"/>
      </w:pPr>
      <w:r>
        <w:t>БЮДЖЕТА НА ПРЕДОСТАВЛЕНИЕ ГРАНТОВ МЕСТНЫМ БЮДЖЕТАМ В ЦЕЛЯХ</w:t>
      </w:r>
    </w:p>
    <w:p w:rsidR="007F0C3B" w:rsidRDefault="00491784">
      <w:pPr>
        <w:pStyle w:val="ConsPlusTitle"/>
        <w:jc w:val="center"/>
      </w:pPr>
      <w:r>
        <w:t>СОДЕЙСТВИЯ ДОСТИЖЕНИЮ И (ИЛИ) ПООЩРЕНИЯ ДОСТИЖЕНИЯ НАИЛУЧШИХ</w:t>
      </w:r>
    </w:p>
    <w:p w:rsidR="007F0C3B" w:rsidRDefault="00491784">
      <w:pPr>
        <w:pStyle w:val="ConsPlusTitle"/>
        <w:jc w:val="center"/>
      </w:pPr>
      <w:r>
        <w:t>ЗНАЧЕНИЙ ПОКАЗАТЕЛЕЙ ДЕЯТЕЛЬНОСТИ ОРГАНОВ МЕСТНОГО</w:t>
      </w:r>
    </w:p>
    <w:p w:rsidR="007F0C3B" w:rsidRDefault="00491784">
      <w:pPr>
        <w:pStyle w:val="ConsPlusTitle"/>
        <w:jc w:val="center"/>
      </w:pPr>
      <w:r>
        <w:t>МУРМАНСКОЙ ОБЛАСТИ</w:t>
      </w:r>
    </w:p>
    <w:p w:rsidR="007F0C3B" w:rsidRDefault="007F0C3B">
      <w:pPr>
        <w:pStyle w:val="ConsPlusNormal"/>
        <w:jc w:val="both"/>
      </w:pPr>
    </w:p>
    <w:p w:rsidR="007F0C3B" w:rsidRDefault="00491784">
      <w:pPr>
        <w:pStyle w:val="ConsPlusNormal"/>
        <w:ind w:firstLine="540"/>
        <w:jc w:val="both"/>
      </w:pPr>
      <w:r>
        <w:t>1. Настоящие Правила определяют порядок предоставления и методику распределения иных межбюджетных трансфертов из областного бюджета на предоставление грантов местным бюджетам в целях содейст</w:t>
      </w:r>
      <w:r>
        <w:t xml:space="preserve">вия достижению и (или) поощрения достижения наилучших значений показателей деятельности органов местного самоуправления </w:t>
      </w:r>
      <w:r>
        <w:t>Мурманской области (далее - гранты).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2. Гранты предоставляются бюджетам муниципальных образований</w:t>
      </w:r>
      <w:r>
        <w:t>, органы местного самоуправления которых признаны победителями за достижение наилучших значений показателей эффективности деятельности согласно Перечню показателей, используемых для оценки эффективности деят</w:t>
      </w:r>
      <w:r>
        <w:t xml:space="preserve">ельности органов местного самоуправления  </w:t>
      </w:r>
      <w:r>
        <w:t xml:space="preserve">Мурманской области, прилагаемому к Методике мониторинга достижения органами местного самоуправления </w:t>
      </w:r>
      <w:r>
        <w:t>М</w:t>
      </w:r>
      <w:r>
        <w:t>урманской области плановых значений показателей оценки эффективности деятельности органов местного самоуправления</w:t>
      </w:r>
      <w:r>
        <w:t>, утвержденной постановлением Губернатора Мурманской области от 03.</w:t>
      </w:r>
      <w:r>
        <w:t>09.2013 №</w:t>
      </w:r>
      <w:r>
        <w:t xml:space="preserve"> 139-ПГ «</w:t>
      </w:r>
      <w:r>
        <w:t xml:space="preserve">Об организации работы по оценке эффективности деятельности органов местного самоуправления муниципальных, городских округов и </w:t>
      </w:r>
      <w:r w:rsidRPr="00491784">
        <w:t>муниципальных районов</w:t>
      </w:r>
      <w:r>
        <w:t xml:space="preserve"> Мурманской области и реализации постановления Правительства Российской Федерации от 17.12.</w:t>
      </w:r>
      <w:r>
        <w:t>2012 №</w:t>
      </w:r>
      <w:r>
        <w:t xml:space="preserve"> 1317»</w:t>
      </w:r>
      <w:r>
        <w:t xml:space="preserve"> (далее - постановление Губернатора Мурманской области от 03.09.2013 №</w:t>
      </w:r>
      <w:r>
        <w:t xml:space="preserve"> 139-ПГ, Методика), а также с учетом степени влияния органов местного самоуправления на достижение Мурманской областью по итогам отчетного года значений (уровней) показателей</w:t>
      </w:r>
      <w:r>
        <w:t xml:space="preserve"> для оценки эффективности деятельности высших должностных лиц (руководителей высших исполнительных органов) субъектов Российской Федерации и деятельности исполнительных органов субъектов Российской Федерации, перечень которых утвержден Указом Президента Ро</w:t>
      </w:r>
      <w:r>
        <w:t>ссийской Федерации от 28.11.2024 N 1014.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3. Гранты предоставляются на финансирование расходных обязательств муниципальных образований, направленных на реализацию социально значимых проектов в соответствии с приоритетами социально-экономического развития му</w:t>
      </w:r>
      <w:r>
        <w:t>ниципального образования, в том числе мероприятий по развитию, ремонту и реконструкции общественной инфраструктуры муниципальных образований.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Гранты могут направляться на возмещение произведенных в текущем году расходов муниципальных образований Мурманской</w:t>
      </w:r>
      <w:r>
        <w:t xml:space="preserve"> области, связанных с реализацией социально значимых проектов в соответствии с приоритетами социально-экономического развития муниципального образования, в том числе мероприятий по развитию, ремонту и реконструкции общественной инфраструктуры муниципальных</w:t>
      </w:r>
      <w:r>
        <w:t xml:space="preserve"> образований.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4. Условиями предоставления грантов являются: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- достижение наивысшей комплексной оценки эффективности деятельности органов местного самоуправления, определенной в соответствии с вышеназванной Методикой;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- заключение соглашения в программном к</w:t>
      </w:r>
      <w:r>
        <w:t>омплексе "Реестр соглашений" электронной системы "Web-Бюджет" в соответствии с типовой формой, утвержденной Министерством финансов Мурманской области, между уполномоченным Правительством Мурманской области органом по подготовке проекта сводного доклада о р</w:t>
      </w:r>
      <w:r>
        <w:t xml:space="preserve">езультатах мониторинга эффективности деятельности органов местного самоуправления </w:t>
      </w:r>
      <w:r>
        <w:t>Мурманской области, определенным постановлением Губернатора Мурманской области от 03.09.2013 №</w:t>
      </w:r>
      <w:r>
        <w:t xml:space="preserve"> 139-ПГ (далее - Уполно</w:t>
      </w:r>
      <w:r>
        <w:t xml:space="preserve">моченный орган), и органом местного самоуправления муниципального образования о </w:t>
      </w:r>
      <w:r>
        <w:lastRenderedPageBreak/>
        <w:t xml:space="preserve">предоставлении грантов в форме иных межбюджетных трансфертов муниципальным образованиям (далее - Соглашение), в котором указываются перечень мероприятий, финансируемых за счет </w:t>
      </w:r>
      <w:r>
        <w:t>предоставленных средств, сроки их реализации, а также целевые показатели эффективности использования гранта и их значения.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5. В Соглашении в обязательном порядке содержатся: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- предмет Соглашения, которым определяется целевое использование предоставляемых г</w:t>
      </w:r>
      <w:r>
        <w:t>рантов;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- форма и сроки предоставления органом местного самоуправления заявки о перечислении грантов;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- размер предоставленных грантов;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- обязательства органов местного самоуправления по целевому использованию грантов и правила возврата грантов в случае не</w:t>
      </w:r>
      <w:r>
        <w:t>выполнения условий Соглашения;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- форма и сроки предоставления отчета о расходах местного бюджета на мероприятия, источником финансового обеспечения которых являются гранты;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- порядок осуществления контроля за выполнением условий Соглашения;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- право Уполномоченного органа и органа государственного финансового контроля на проведение проверки целевого использования предоставленных грантов;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- ответственность сторон за нарушение обязательств, предусмотренных в Соглашении.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6. Гранты предоставляются</w:t>
      </w:r>
      <w:r>
        <w:t xml:space="preserve"> Уполномоченным органом в соответствии со сводной бюджетной росписью и кассовым планом выплат в пределах лимитов бюджетных обязательств, предусмотренных на указанные цели.</w:t>
      </w:r>
    </w:p>
    <w:p w:rsidR="00491784" w:rsidRPr="00491784" w:rsidRDefault="00491784" w:rsidP="00491784">
      <w:pPr>
        <w:pStyle w:val="ConsPlusNormal"/>
        <w:spacing w:before="240"/>
        <w:ind w:firstLine="540"/>
        <w:jc w:val="both"/>
      </w:pPr>
      <w:r>
        <w:t xml:space="preserve">7. </w:t>
      </w:r>
      <w:r w:rsidRPr="00491784">
        <w:t>Гранты распределяются из областного бюджета муниципальным образованиям - победителям по итогам комплексной оценки эффективности деятельности органов местного самоуправления Мурманской области следующим образом:</w:t>
      </w:r>
    </w:p>
    <w:p w:rsidR="00491784" w:rsidRPr="00491784" w:rsidRDefault="00491784" w:rsidP="00491784">
      <w:pPr>
        <w:pStyle w:val="ConsPlusNormal"/>
        <w:spacing w:before="240"/>
        <w:ind w:firstLine="540"/>
        <w:jc w:val="both"/>
      </w:pPr>
      <w:r w:rsidRPr="00491784">
        <w:tab/>
        <w:t>- муниципальные образования делятся на 3 группы:</w:t>
      </w:r>
    </w:p>
    <w:p w:rsidR="00491784" w:rsidRPr="00491784" w:rsidRDefault="00491784" w:rsidP="00491784">
      <w:pPr>
        <w:pStyle w:val="ConsPlusNormal"/>
        <w:spacing w:before="240"/>
        <w:ind w:firstLine="540"/>
        <w:jc w:val="both"/>
      </w:pPr>
      <w:r w:rsidRPr="00491784">
        <w:tab/>
        <w:t xml:space="preserve">- первая группа - муниципальные образования с численностью до 10 тысяч человек; </w:t>
      </w:r>
    </w:p>
    <w:p w:rsidR="00491784" w:rsidRPr="00491784" w:rsidRDefault="00491784" w:rsidP="00491784">
      <w:pPr>
        <w:pStyle w:val="ConsPlusNormal"/>
        <w:spacing w:before="240"/>
        <w:ind w:firstLine="540"/>
        <w:jc w:val="both"/>
      </w:pPr>
      <w:r w:rsidRPr="00491784">
        <w:tab/>
        <w:t>- вторая группа - муниципальные образования с численностью от 10 тысяч человек до 30 тысяч человек;</w:t>
      </w:r>
    </w:p>
    <w:p w:rsidR="00491784" w:rsidRPr="00491784" w:rsidRDefault="00491784" w:rsidP="00491784">
      <w:pPr>
        <w:pStyle w:val="ConsPlusNormal"/>
        <w:spacing w:before="240"/>
        <w:ind w:firstLine="540"/>
        <w:jc w:val="both"/>
      </w:pPr>
      <w:r w:rsidRPr="00491784">
        <w:tab/>
        <w:t>- третья группа - муниципальные образования с численностью от 30 тысяч человек и выше.</w:t>
      </w:r>
    </w:p>
    <w:p w:rsidR="00491784" w:rsidRPr="00491784" w:rsidRDefault="00491784" w:rsidP="00491784">
      <w:pPr>
        <w:pStyle w:val="ConsPlusNormal"/>
        <w:spacing w:before="240"/>
        <w:ind w:firstLine="540"/>
        <w:jc w:val="both"/>
      </w:pPr>
      <w:r w:rsidRPr="00491784">
        <w:tab/>
        <w:t>В первой и второй группах победителями определяются муниципальные образования, занявшие 1 место по итогам комплексной оценки эффективности деятельности органов местного самоуправления Мурманской области.</w:t>
      </w:r>
    </w:p>
    <w:p w:rsidR="00491784" w:rsidRPr="00491784" w:rsidRDefault="00491784" w:rsidP="00491784">
      <w:pPr>
        <w:pStyle w:val="ConsPlusNormal"/>
        <w:spacing w:before="240"/>
        <w:ind w:firstLine="540"/>
        <w:jc w:val="both"/>
      </w:pPr>
      <w:r w:rsidRPr="00491784">
        <w:tab/>
        <w:t>В третьей группе победителями определяются муниципальные образования, занявшие 1 и 2 места по итогам комплексной оценки эффективности деятельности органов местного самоуправления Мурманской области.</w:t>
      </w:r>
    </w:p>
    <w:p w:rsidR="00491784" w:rsidRPr="00491784" w:rsidRDefault="00491784" w:rsidP="00491784">
      <w:pPr>
        <w:pStyle w:val="ConsPlusNormal"/>
        <w:spacing w:before="240"/>
        <w:ind w:firstLine="540"/>
        <w:jc w:val="both"/>
      </w:pPr>
      <w:r w:rsidRPr="00491784">
        <w:tab/>
        <w:t>8. Размер гранта, предоставляемого:</w:t>
      </w:r>
    </w:p>
    <w:p w:rsidR="00491784" w:rsidRPr="00491784" w:rsidRDefault="00491784" w:rsidP="00491784">
      <w:pPr>
        <w:pStyle w:val="ConsPlusNormal"/>
        <w:spacing w:before="240"/>
        <w:ind w:firstLine="540"/>
        <w:jc w:val="both"/>
      </w:pPr>
      <w:r w:rsidRPr="00491784">
        <w:tab/>
        <w:t>- муниципальным образованиям первой группы, составляет 15 % от общего объема средств, предусмотренных на цели содействия достижению и (или) поощрения достижения наилучших значений показателей деятельности органов местного самоуправления;</w:t>
      </w:r>
    </w:p>
    <w:p w:rsidR="00491784" w:rsidRPr="00491784" w:rsidRDefault="00491784" w:rsidP="00491784">
      <w:pPr>
        <w:pStyle w:val="ConsPlusNormal"/>
        <w:spacing w:before="240"/>
        <w:ind w:firstLine="540"/>
        <w:jc w:val="both"/>
      </w:pPr>
      <w:r w:rsidRPr="00491784">
        <w:lastRenderedPageBreak/>
        <w:tab/>
        <w:t>- муниципальному образованию второй группы, составляет 25 % от общего объема средств, предусмотренных на цели содействия достижению и (или) поощрения достижения наилучших значений показателей деятельности органов местного самоуправления;</w:t>
      </w:r>
    </w:p>
    <w:p w:rsidR="00491784" w:rsidRPr="00491784" w:rsidRDefault="00491784" w:rsidP="00491784">
      <w:pPr>
        <w:pStyle w:val="ConsPlusNormal"/>
        <w:spacing w:before="240"/>
        <w:ind w:firstLine="540"/>
        <w:jc w:val="both"/>
      </w:pPr>
      <w:r w:rsidRPr="00491784">
        <w:tab/>
        <w:t>- муниципальному образованию третьей группы, составляет 60 % от общего объема средств, предусмотренных на цели содействия достижению и (или) поощрения достижения наилучших значений показателей деятельности органов местного самоуправления.</w:t>
      </w:r>
    </w:p>
    <w:p w:rsidR="00491784" w:rsidRPr="00491784" w:rsidRDefault="00491784" w:rsidP="00491784">
      <w:pPr>
        <w:pStyle w:val="ConsPlusNormal"/>
        <w:spacing w:before="240"/>
        <w:ind w:firstLine="540"/>
        <w:jc w:val="both"/>
      </w:pPr>
      <w:r w:rsidRPr="00491784">
        <w:tab/>
        <w:t>Муниципальным образованиям третьей группы, занявшим 1 и 2 места по итогам комплексной оценки эффективности деятельности органов местного самоуправления Мурманской области, размер гранта составляет 50 % от общей суммы гранта для третьей группы.».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9. Решение о предоставлении грантов принимается Комиссией по подведению итогов оценки эффективности деятельности органов местного самоуправления Мурм</w:t>
      </w:r>
      <w:r>
        <w:t>анской области (далее - Комиссия) в порядке, установленном постановлением Губернатора Мурманской области от 03.09.2013 N 139-ПГ, и отражается в протоколе заседания указанной Комиссии.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10. Уполномоченный орган в случае принятия Комиссией решения о предостав</w:t>
      </w:r>
      <w:r>
        <w:t>лении грантов муниципальным образованиям: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10.1. В течение 15 рабочих дней после принятия Комиссией решения готовит и представляет Правительству Мурманской области проект нормативного правового акта Правительства Мурманской области об утверждении состава по</w:t>
      </w:r>
      <w:r>
        <w:t>бедителей - получателей грантов и размеров грантов (далее - нормативный правовой акт Правительства Мурманской области).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10.2. Представляет информацию о предоставлении грантов и их размерах в Министерство экономического развития Российской Федерации не позд</w:t>
      </w:r>
      <w:r>
        <w:t>нее 14 календарных дней после принятия нормативного правового акта Правительства Мурманской области.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10.3. До 15 января года, следующего за годом перечисления грантов муниципальным образованиям, представляет в Министерство финансов Мурманской области инфор</w:t>
      </w:r>
      <w:r>
        <w:t>мацию для формирования отчета о расходах бюджета Мурманской области, источником которых являются гранты, предоставляемые из федерального бюджета бюджетам субъектов Российской Федерации за достижение показателей деятельности исполнительных органов субъектов</w:t>
      </w:r>
      <w:r>
        <w:t xml:space="preserve"> Российской Федерации.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 xml:space="preserve">11. После принятия нормативного правового акта Правительства Мурманской области Уполномоченный орган как главный распорядитель средств областного бюджета, предусмотренных на выплату грантов органам местного самоуправления </w:t>
      </w:r>
      <w:r>
        <w:t>в целях содействия достижению и (или) поощрения достижения наилучших значений показателей их деятельности: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11.1. Осуществляет согласование мероприятий, на реализацию которых направляются гранты, с профильным ис</w:t>
      </w:r>
      <w:r>
        <w:t>полнительным органом и заключает Соглашения с органами местного самоуправления муниципальных образований, являющимися получателями грантов.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11.2. Перечисляет гранты в бюджеты соответствующих муниципальных образований на счета территориальных органов Федера</w:t>
      </w:r>
      <w:r>
        <w:t>льного казначейства, открытые для кассового обслуживания исполнения местных бюджетов, на лицевые счета соответствующих администраторов доходов, уполномоченных на использование грантов, по заявке муниципального образования.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11.3. Обеспечивает размещение инф</w:t>
      </w:r>
      <w:r>
        <w:t>ормации о составе муниципальных образований - получателей грантов и размерах грантов на официальном портале исполнительных органов в сети Интернет в течение 15 рабочих дней со дня принятия нормативного правового акта Правительства Мурманской области.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 xml:space="preserve">11.4. Уполномоченный орган и органы государственного финансового контроля </w:t>
      </w:r>
      <w:r>
        <w:lastRenderedPageBreak/>
        <w:t>осуществляют контроль за целевым использованием органами местного самоуправления предоставленных грантов.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 xml:space="preserve">12. Не использованный на 1 января текущего финансового года остаток грантов </w:t>
      </w:r>
      <w:r>
        <w:t>подлежит перечислению в областной бюджет органами местного самоуправления, за которыми в соответствии с нормативными правовыми актами муниципального образования закреплены источники доходов бюджета муниципального образования по возврату остатков иных межбю</w:t>
      </w:r>
      <w:r>
        <w:t>джетных трансфертов в соответствии с требованиями, установленными Бюджетным кодексом Российской Федерации и законом об областном бюджете.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В случае если неиспользованный остаток грантов не перечислен в доход областного бюджета, указанные средства подлежат взысканию в доход областного бюджета в порядке, установленном Министерством финансов Мурманской области.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 xml:space="preserve">При наличии потребности в остатке </w:t>
      </w:r>
      <w:r>
        <w:t>гранта, не использованном в отчетном финансовом году, указанный остаток в соответствии с решением Уполномоченного органа, согласованным с Министерством финансов Мурманской области, может быть возвращен в текущем финансовом году в доход бюджета, которому он</w:t>
      </w:r>
      <w:r>
        <w:t xml:space="preserve"> был ранее предоставлен, для финансового обеспечения расходов, соответствующих целям предоставления гранта.</w:t>
      </w:r>
    </w:p>
    <w:p w:rsidR="007F0C3B" w:rsidRDefault="00491784">
      <w:pPr>
        <w:pStyle w:val="ConsPlusNormal"/>
        <w:spacing w:before="240"/>
        <w:ind w:firstLine="540"/>
        <w:jc w:val="both"/>
      </w:pPr>
      <w:r>
        <w:t>13. В случае нецелевого использования грантов они подлежат взысканию в доход областного бюджета в соответствии с бюджетным законодательством Российс</w:t>
      </w:r>
      <w:r>
        <w:t>кой Федерации.</w:t>
      </w:r>
    </w:p>
    <w:p w:rsidR="007F0C3B" w:rsidRDefault="007F0C3B">
      <w:pPr>
        <w:pStyle w:val="ConsPlusNormal"/>
        <w:jc w:val="both"/>
      </w:pPr>
    </w:p>
    <w:p w:rsidR="007F0C3B" w:rsidRDefault="007F0C3B">
      <w:pPr>
        <w:pStyle w:val="ConsPlusNormal"/>
        <w:jc w:val="both"/>
      </w:pPr>
    </w:p>
    <w:sectPr w:rsidR="007F0C3B" w:rsidSect="00491784">
      <w:pgSz w:w="11906" w:h="16838"/>
      <w:pgMar w:top="709" w:right="566" w:bottom="709" w:left="1133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7F0C3B"/>
    <w:rsid w:val="000354C7"/>
    <w:rsid w:val="00491784"/>
    <w:rsid w:val="007F0C3B"/>
    <w:rsid w:val="008B4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0C3B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7F0C3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7F0C3B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rsid w:val="007F0C3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7F0C3B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7F0C3B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7F0C3B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7F0C3B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rsid w:val="007F0C3B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No Spacing"/>
    <w:uiPriority w:val="1"/>
    <w:qFormat/>
    <w:rsid w:val="000354C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1627</Words>
  <Characters>9277</Characters>
  <Application>Microsoft Office Word</Application>
  <DocSecurity>0</DocSecurity>
  <Lines>77</Lines>
  <Paragraphs>21</Paragraphs>
  <ScaleCrop>false</ScaleCrop>
  <Company>КонсультантПлюс Версия 4024.00.50</Company>
  <LinksUpToDate>false</LinksUpToDate>
  <CharactersWithSpaces>10883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11.11.2020 N 780-ПП
(ред. от 17.09.2025)
"Об утверждении государственной программы Мурманской области "Экономический потенциал"</dc:title>
  <dc:creator>Жукова Е.Н.</dc:creator>
  <cp:lastModifiedBy>enzhukova</cp:lastModifiedBy>
  <cp:revision>3</cp:revision>
  <dcterms:created xsi:type="dcterms:W3CDTF">2025-10-27T11:48:00Z</dcterms:created>
  <dcterms:modified xsi:type="dcterms:W3CDTF">2025-10-27T12:02:00Z</dcterms:modified>
</cp:coreProperties>
</file>